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drawing>
          <wp:inline distT="0" distB="0" distL="0" distR="0">
            <wp:extent cx="3057525" cy="43243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382" w:rsidRDefault="00FB0382" w:rsidP="00FB0382">
      <w:pPr>
        <w:keepNext/>
        <w:keepLines/>
        <w:autoSpaceDE w:val="0"/>
        <w:autoSpaceDN w:val="0"/>
        <w:adjustRightInd w:val="0"/>
        <w:spacing w:after="320" w:line="276" w:lineRule="auto"/>
        <w:jc w:val="center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Osservatorio delle Povertà e delle Risorse</w:t>
      </w:r>
    </w:p>
    <w:p w:rsidR="00FB0382" w:rsidRDefault="00FB0382" w:rsidP="00FB038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Report del mese di</w:t>
      </w:r>
    </w:p>
    <w:p w:rsidR="00FB0382" w:rsidRDefault="00FB0382" w:rsidP="00FB038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DICEMBRE 2020</w:t>
      </w:r>
    </w:p>
    <w:p w:rsidR="00FB0382" w:rsidRDefault="00FB0382" w:rsidP="00FB038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FB0382" w:rsidRDefault="00FB0382" w:rsidP="00FB038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Centro di Ascolto Diocesano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L’AFFLUENZA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I Nuovi accessi</w:t>
      </w: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Nel mese di dicembre, le persone che si sono rivolte per la prima volta agli sportelli di ascolto diocesano sono state </w:t>
      </w:r>
      <w:r>
        <w:rPr>
          <w:rFonts w:ascii="Calibri" w:hAnsi="Calibri" w:cs="Calibri"/>
          <w:b/>
          <w:bCs/>
          <w:color w:val="000000"/>
        </w:rPr>
        <w:t>73</w:t>
      </w:r>
      <w:r>
        <w:rPr>
          <w:rFonts w:ascii="Calibri" w:hAnsi="Calibri" w:cs="Calibri"/>
          <w:color w:val="000000"/>
        </w:rPr>
        <w:t xml:space="preserve">, il 59% circa proveniente dal contesto urbano, il restante 41% </w:t>
      </w:r>
      <w:r w:rsidR="005168CB">
        <w:rPr>
          <w:rFonts w:ascii="Calibri" w:hAnsi="Calibri" w:cs="Calibri"/>
          <w:color w:val="000000"/>
        </w:rPr>
        <w:t>dai paesi della diocesi</w:t>
      </w:r>
      <w:r>
        <w:rPr>
          <w:rFonts w:ascii="Calibri" w:hAnsi="Calibri" w:cs="Calibri"/>
          <w:color w:val="000000"/>
        </w:rPr>
        <w:t>.</w:t>
      </w:r>
    </w:p>
    <w:tbl>
      <w:tblPr>
        <w:tblW w:w="53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1380"/>
        <w:gridCol w:w="1360"/>
        <w:gridCol w:w="1380"/>
      </w:tblGrid>
      <w:tr w:rsidR="00CD7A08" w:rsidRPr="00CD7A08" w:rsidTr="00CD7A08">
        <w:trPr>
          <w:trHeight w:val="645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 Sesso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 Cittadinanza Italiana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 Cittadinanza Non Italiana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 Totale</w:t>
            </w:r>
          </w:p>
        </w:tc>
      </w:tr>
      <w:tr w:rsidR="00CD7A08" w:rsidRPr="00CD7A08" w:rsidTr="00CD7A08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Femminile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42</w:t>
            </w:r>
          </w:p>
        </w:tc>
      </w:tr>
      <w:tr w:rsidR="00CD7A08" w:rsidRPr="00CD7A08" w:rsidTr="00CD7A08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Maschile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31</w:t>
            </w:r>
          </w:p>
        </w:tc>
      </w:tr>
      <w:tr w:rsidR="00CD7A08" w:rsidRPr="00CD7A08" w:rsidTr="00CD7A08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color w:val="222222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EEEEEE"/>
              <w:right w:val="nil"/>
            </w:tcBorders>
            <w:shd w:val="clear" w:color="000000" w:fill="DDDDDD"/>
            <w:vAlign w:val="center"/>
            <w:hideMark/>
          </w:tcPr>
          <w:p w:rsidR="00CD7A08" w:rsidRPr="00CD7A08" w:rsidRDefault="00CD7A08" w:rsidP="00CD7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  <w:lang w:eastAsia="it-IT"/>
              </w:rPr>
            </w:pPr>
            <w:r w:rsidRPr="00CD7A08">
              <w:rPr>
                <w:rFonts w:ascii="Verdana" w:eastAsia="Times New Roman" w:hAnsi="Verdana" w:cs="Verdana"/>
                <w:b/>
                <w:bCs/>
                <w:color w:val="222222"/>
                <w:sz w:val="16"/>
                <w:szCs w:val="16"/>
                <w:lang w:eastAsia="it-IT"/>
              </w:rPr>
              <w:t>73</w:t>
            </w:r>
          </w:p>
        </w:tc>
      </w:tr>
    </w:tbl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</w:rPr>
        <w:t>Totale prese in carico del mese</w:t>
      </w: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persone seguite nel mese risultano in totale </w:t>
      </w:r>
      <w:r w:rsidRPr="00E87F2A">
        <w:rPr>
          <w:rFonts w:ascii="Calibri" w:hAnsi="Calibri" w:cs="Calibri"/>
          <w:b/>
          <w:color w:val="000000"/>
        </w:rPr>
        <w:t>537</w:t>
      </w:r>
      <w:r>
        <w:rPr>
          <w:rFonts w:ascii="Calibri" w:hAnsi="Calibri" w:cs="Calibri"/>
          <w:color w:val="000000"/>
        </w:rPr>
        <w:t xml:space="preserve">. Il numero così ingente è </w:t>
      </w:r>
      <w:r w:rsidR="00E87F2A">
        <w:rPr>
          <w:rFonts w:ascii="Calibri" w:hAnsi="Calibri" w:cs="Calibri"/>
          <w:color w:val="000000"/>
        </w:rPr>
        <w:t>strettamente legato alla nuova Distribuzione di Panieri A</w:t>
      </w:r>
      <w:r>
        <w:rPr>
          <w:rFonts w:ascii="Calibri" w:hAnsi="Calibri" w:cs="Calibri"/>
          <w:color w:val="000000"/>
        </w:rPr>
        <w:t xml:space="preserve">limentari organizzata </w:t>
      </w:r>
      <w:r w:rsidR="00396DDA">
        <w:rPr>
          <w:rFonts w:ascii="Calibri" w:hAnsi="Calibri" w:cs="Calibri"/>
          <w:color w:val="000000"/>
        </w:rPr>
        <w:t xml:space="preserve">a metà dicembre </w:t>
      </w:r>
      <w:r>
        <w:rPr>
          <w:rFonts w:ascii="Calibri" w:hAnsi="Calibri" w:cs="Calibri"/>
          <w:color w:val="000000"/>
        </w:rPr>
        <w:t>dalla Caritas diocesana di Benevento</w:t>
      </w:r>
      <w:r w:rsidR="00396DDA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con la collaborazione del Comando Provinciale dei Carabinieri di Benevento, presso la caserma Pepicelli.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54"/>
        <w:gridCol w:w="1483"/>
        <w:gridCol w:w="1466"/>
        <w:gridCol w:w="1483"/>
        <w:gridCol w:w="1032"/>
        <w:gridCol w:w="989"/>
      </w:tblGrid>
      <w:tr w:rsidR="00FB0382" w:rsidTr="001160C7">
        <w:trPr>
          <w:trHeight w:val="624"/>
          <w:jc w:val="center"/>
        </w:trPr>
        <w:tc>
          <w:tcPr>
            <w:tcW w:w="1354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 Sesso</w:t>
            </w:r>
          </w:p>
        </w:tc>
        <w:tc>
          <w:tcPr>
            <w:tcW w:w="1483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 Cittadinanza Italiana</w:t>
            </w:r>
          </w:p>
        </w:tc>
        <w:tc>
          <w:tcPr>
            <w:tcW w:w="1466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 Cittadinanza Non Italiana</w:t>
            </w:r>
          </w:p>
        </w:tc>
        <w:tc>
          <w:tcPr>
            <w:tcW w:w="1483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 Doppia cittadinanza</w:t>
            </w:r>
          </w:p>
        </w:tc>
        <w:tc>
          <w:tcPr>
            <w:tcW w:w="1032" w:type="dxa"/>
            <w:tcBorders>
              <w:top w:val="single" w:sz="6" w:space="0" w:color="FFFFFF"/>
              <w:left w:val="nil"/>
              <w:bottom w:val="single" w:sz="12" w:space="0" w:color="FFFFFF"/>
              <w:right w:val="single" w:sz="6" w:space="0" w:color="FFFFFF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 Totale</w:t>
            </w:r>
          </w:p>
        </w:tc>
        <w:tc>
          <w:tcPr>
            <w:tcW w:w="989" w:type="dxa"/>
            <w:tcBorders>
              <w:top w:val="single" w:sz="6" w:space="0" w:color="FFFFFF"/>
              <w:left w:val="nil"/>
              <w:bottom w:val="single" w:sz="12" w:space="0" w:color="FFFFFF"/>
              <w:right w:val="single" w:sz="6" w:space="0" w:color="FFFFFF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333333"/>
                <w:sz w:val="16"/>
                <w:szCs w:val="16"/>
              </w:rPr>
              <w:t> Totale %</w:t>
            </w:r>
          </w:p>
        </w:tc>
      </w:tr>
      <w:tr w:rsidR="00FB0382" w:rsidTr="001160C7">
        <w:trPr>
          <w:trHeight w:val="305"/>
          <w:jc w:val="center"/>
        </w:trPr>
        <w:tc>
          <w:tcPr>
            <w:tcW w:w="1354" w:type="dxa"/>
            <w:tcBorders>
              <w:top w:val="nil"/>
              <w:left w:val="single" w:sz="6" w:space="0" w:color="FFFFFF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Femminile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239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292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  <w:t>54,4</w:t>
            </w:r>
          </w:p>
        </w:tc>
      </w:tr>
      <w:tr w:rsidR="00FB0382" w:rsidTr="001160C7">
        <w:trPr>
          <w:trHeight w:val="305"/>
          <w:jc w:val="center"/>
        </w:trPr>
        <w:tc>
          <w:tcPr>
            <w:tcW w:w="1354" w:type="dxa"/>
            <w:tcBorders>
              <w:top w:val="nil"/>
              <w:left w:val="single" w:sz="6" w:space="0" w:color="FFFFFF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Maschile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213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32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245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  <w:t>45,6</w:t>
            </w:r>
          </w:p>
        </w:tc>
      </w:tr>
      <w:tr w:rsidR="00FB0382" w:rsidTr="001160C7">
        <w:trPr>
          <w:trHeight w:val="305"/>
          <w:jc w:val="center"/>
        </w:trPr>
        <w:tc>
          <w:tcPr>
            <w:tcW w:w="1354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Totale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452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82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color w:val="333333"/>
                <w:sz w:val="16"/>
                <w:szCs w:val="16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solid" w:color="C0C0C0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t>537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FFFFFF"/>
              <w:right w:val="single" w:sz="6" w:space="0" w:color="FFFFFF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333333"/>
                <w:sz w:val="16"/>
                <w:szCs w:val="16"/>
              </w:rPr>
            </w:pPr>
          </w:p>
        </w:tc>
      </w:tr>
      <w:tr w:rsidR="00FB0382" w:rsidTr="001160C7">
        <w:trPr>
          <w:trHeight w:val="290"/>
          <w:jc w:val="center"/>
        </w:trPr>
        <w:tc>
          <w:tcPr>
            <w:tcW w:w="1354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333333"/>
                <w:sz w:val="16"/>
                <w:szCs w:val="16"/>
              </w:rPr>
              <w:t>Totale 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  <w:t>84,2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  <w:t>15,3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  <w:t>0,6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solid" w:color="FFFFFF" w:fill="FFFFFF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color w:val="808080"/>
                <w:sz w:val="16"/>
                <w:szCs w:val="16"/>
              </w:rPr>
              <w:t>100,0</w:t>
            </w:r>
          </w:p>
        </w:tc>
      </w:tr>
    </w:tbl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L'affluenza delle persone di cittadinanza italiana è decisamente prevalente su quella degli assistiti di cittadinanza straniera che</w:t>
      </w:r>
      <w:r w:rsidR="008A1E91">
        <w:rPr>
          <w:rFonts w:ascii="Calibri" w:hAnsi="Calibri" w:cs="Calibri"/>
          <w:color w:val="000000"/>
        </w:rPr>
        <w:t>, in questo mese,</w:t>
      </w:r>
      <w:r>
        <w:rPr>
          <w:rFonts w:ascii="Calibri" w:hAnsi="Calibri" w:cs="Calibri"/>
          <w:color w:val="000000"/>
        </w:rPr>
        <w:t xml:space="preserve"> riducono la loro presenza ad appena il 15%. </w:t>
      </w:r>
    </w:p>
    <w:p w:rsidR="008A1E91" w:rsidRDefault="008A1E91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:rsidR="008A1E91" w:rsidRDefault="008A1E91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:rsidR="008A1E91" w:rsidRDefault="008A1E91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:rsidR="005168CB" w:rsidRDefault="005168CB" w:rsidP="008A1E91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 Bisogni</w:t>
      </w:r>
    </w:p>
    <w:p w:rsidR="005168CB" w:rsidRDefault="005168CB" w:rsidP="00763DB6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bCs/>
        </w:rPr>
      </w:pPr>
      <w:r w:rsidRPr="005168CB">
        <w:rPr>
          <w:rFonts w:ascii="Calibri" w:hAnsi="Calibri" w:cs="Calibri"/>
          <w:bCs/>
        </w:rPr>
        <w:t xml:space="preserve">Oltre alla </w:t>
      </w:r>
      <w:r>
        <w:rPr>
          <w:rFonts w:ascii="Calibri" w:hAnsi="Calibri" w:cs="Calibri"/>
          <w:bCs/>
        </w:rPr>
        <w:t xml:space="preserve">consueta presenza di disoccupati, in aumento anche per via della chiusura di varie attività economiche a causa del </w:t>
      </w:r>
      <w:proofErr w:type="spellStart"/>
      <w:r>
        <w:rPr>
          <w:rFonts w:ascii="Calibri" w:hAnsi="Calibri" w:cs="Calibri"/>
          <w:bCs/>
        </w:rPr>
        <w:t>Covid</w:t>
      </w:r>
      <w:proofErr w:type="spellEnd"/>
      <w:r>
        <w:rPr>
          <w:rFonts w:ascii="Calibri" w:hAnsi="Calibri" w:cs="Calibri"/>
          <w:bCs/>
        </w:rPr>
        <w:t>, molte persone lamenta</w:t>
      </w:r>
      <w:r w:rsidR="00763DB6">
        <w:rPr>
          <w:rFonts w:ascii="Calibri" w:hAnsi="Calibri" w:cs="Calibri"/>
          <w:bCs/>
        </w:rPr>
        <w:t>no lo stato di fermo</w:t>
      </w:r>
      <w:r w:rsidR="00EB3218">
        <w:rPr>
          <w:rFonts w:ascii="Calibri" w:hAnsi="Calibri" w:cs="Calibri"/>
          <w:bCs/>
        </w:rPr>
        <w:t xml:space="preserve"> lavorativo</w:t>
      </w:r>
      <w:r w:rsidR="00763DB6">
        <w:rPr>
          <w:rFonts w:ascii="Calibri" w:hAnsi="Calibri" w:cs="Calibri"/>
          <w:bCs/>
        </w:rPr>
        <w:t>, seppure temporaneo, la r</w:t>
      </w:r>
      <w:r w:rsidR="00EB3218">
        <w:rPr>
          <w:rFonts w:ascii="Calibri" w:hAnsi="Calibri" w:cs="Calibri"/>
          <w:bCs/>
        </w:rPr>
        <w:t xml:space="preserve">iduzione degli orari di lavoro, </w:t>
      </w:r>
      <w:r w:rsidR="00763DB6">
        <w:rPr>
          <w:rFonts w:ascii="Calibri" w:hAnsi="Calibri" w:cs="Calibri"/>
          <w:bCs/>
        </w:rPr>
        <w:t>l’attesa della Cassa Integrazione che</w:t>
      </w:r>
      <w:r w:rsidR="00396DDA">
        <w:rPr>
          <w:rFonts w:ascii="Calibri" w:hAnsi="Calibri" w:cs="Calibri"/>
          <w:bCs/>
        </w:rPr>
        <w:t>, peraltro</w:t>
      </w:r>
      <w:r w:rsidR="00763DB6">
        <w:rPr>
          <w:rFonts w:ascii="Calibri" w:hAnsi="Calibri" w:cs="Calibri"/>
          <w:bCs/>
        </w:rPr>
        <w:t>, anche quando viene riconosciuta dall’azienda, determina una riduzione della retribuzione mensile del 20%</w:t>
      </w:r>
      <w:r w:rsidR="00EB3218">
        <w:rPr>
          <w:rFonts w:ascii="Calibri" w:hAnsi="Calibri" w:cs="Calibri"/>
          <w:bCs/>
        </w:rPr>
        <w:t>,</w:t>
      </w:r>
      <w:r w:rsidR="00763DB6">
        <w:rPr>
          <w:rFonts w:ascii="Calibri" w:hAnsi="Calibri" w:cs="Calibri"/>
          <w:bCs/>
        </w:rPr>
        <w:t xml:space="preserve"> aumentando</w:t>
      </w:r>
      <w:r w:rsidR="00EB3218">
        <w:rPr>
          <w:rFonts w:ascii="Calibri" w:hAnsi="Calibri" w:cs="Calibri"/>
          <w:bCs/>
        </w:rPr>
        <w:t>,</w:t>
      </w:r>
      <w:r w:rsidR="00763DB6">
        <w:rPr>
          <w:rFonts w:ascii="Calibri" w:hAnsi="Calibri" w:cs="Calibri"/>
          <w:bCs/>
        </w:rPr>
        <w:t xml:space="preserve"> </w:t>
      </w:r>
      <w:r w:rsidR="00EB3218">
        <w:rPr>
          <w:rFonts w:ascii="Calibri" w:hAnsi="Calibri" w:cs="Calibri"/>
          <w:bCs/>
        </w:rPr>
        <w:t xml:space="preserve">così, </w:t>
      </w:r>
      <w:r w:rsidR="00763DB6">
        <w:rPr>
          <w:rFonts w:ascii="Calibri" w:hAnsi="Calibri" w:cs="Calibri"/>
          <w:bCs/>
        </w:rPr>
        <w:t>la vulnerabilità economica di tante famiglie.</w:t>
      </w:r>
      <w:r>
        <w:rPr>
          <w:rFonts w:ascii="Calibri" w:hAnsi="Calibri" w:cs="Calibri"/>
          <w:bCs/>
        </w:rPr>
        <w:t xml:space="preserve">  </w:t>
      </w:r>
    </w:p>
    <w:p w:rsidR="004C2EFA" w:rsidRDefault="005126FD" w:rsidP="00EB3218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szCs w:val="27"/>
        </w:rPr>
      </w:pPr>
      <w:r>
        <w:rPr>
          <w:rFonts w:ascii="Calibri" w:hAnsi="Calibri" w:cs="Calibri"/>
          <w:bCs/>
        </w:rPr>
        <w:t xml:space="preserve">Inoltre, la presenza di </w:t>
      </w:r>
      <w:r w:rsidR="00EB3218">
        <w:rPr>
          <w:rFonts w:ascii="Calibri" w:hAnsi="Calibri" w:cs="Calibri"/>
          <w:bCs/>
        </w:rPr>
        <w:t xml:space="preserve">un notevole numero di </w:t>
      </w:r>
      <w:r>
        <w:rPr>
          <w:rFonts w:ascii="Calibri" w:hAnsi="Calibri" w:cs="Calibri"/>
          <w:bCs/>
        </w:rPr>
        <w:t>pensionati richiedenti il paniere alimentare, accende i riflettori sulla diffic</w:t>
      </w:r>
      <w:r w:rsidR="00EB3218">
        <w:rPr>
          <w:rFonts w:ascii="Calibri" w:hAnsi="Calibri" w:cs="Calibri"/>
          <w:bCs/>
        </w:rPr>
        <w:t xml:space="preserve">ile condizione </w:t>
      </w:r>
      <w:r w:rsidR="00EB3218">
        <w:rPr>
          <w:rFonts w:cs="Arial"/>
          <w:szCs w:val="27"/>
        </w:rPr>
        <w:t>di una tra le</w:t>
      </w:r>
      <w:r w:rsidR="00EB3218" w:rsidRPr="004C2EFA">
        <w:rPr>
          <w:rFonts w:cs="Arial"/>
          <w:szCs w:val="27"/>
        </w:rPr>
        <w:t> </w:t>
      </w:r>
      <w:r w:rsidR="00EB3218" w:rsidRPr="004C2EFA">
        <w:rPr>
          <w:rStyle w:val="Enfasigrassetto"/>
          <w:rFonts w:cs="Arial"/>
          <w:b w:val="0"/>
          <w:szCs w:val="27"/>
          <w:bdr w:val="none" w:sz="0" w:space="0" w:color="auto" w:frame="1"/>
        </w:rPr>
        <w:t>categorie più svantaggiate</w:t>
      </w:r>
      <w:r w:rsidR="00EB3218">
        <w:rPr>
          <w:rStyle w:val="Enfasigrassetto"/>
          <w:rFonts w:cs="Arial"/>
          <w:b w:val="0"/>
          <w:szCs w:val="27"/>
          <w:bdr w:val="none" w:sz="0" w:space="0" w:color="auto" w:frame="1"/>
        </w:rPr>
        <w:t xml:space="preserve"> del Paese</w:t>
      </w:r>
      <w:r w:rsidR="00EB3218" w:rsidRPr="004C2EFA">
        <w:rPr>
          <w:rFonts w:cs="Arial"/>
          <w:szCs w:val="27"/>
        </w:rPr>
        <w:t>, che percepisc</w:t>
      </w:r>
      <w:r w:rsidR="00EB3218">
        <w:rPr>
          <w:rFonts w:cs="Arial"/>
          <w:szCs w:val="27"/>
        </w:rPr>
        <w:t>e</w:t>
      </w:r>
      <w:r w:rsidR="00EB3218" w:rsidRPr="004C2EFA">
        <w:rPr>
          <w:rFonts w:cs="Arial"/>
          <w:szCs w:val="27"/>
        </w:rPr>
        <w:t xml:space="preserve"> assegni minimi</w:t>
      </w:r>
      <w:r w:rsidR="00EB3218">
        <w:rPr>
          <w:rFonts w:cs="Arial"/>
          <w:szCs w:val="27"/>
        </w:rPr>
        <w:t xml:space="preserve"> e che</w:t>
      </w:r>
      <w:r w:rsidR="00EB3218">
        <w:rPr>
          <w:rFonts w:ascii="Calibri" w:hAnsi="Calibri" w:cs="Calibri"/>
          <w:bCs/>
        </w:rPr>
        <w:t xml:space="preserve"> se </w:t>
      </w:r>
      <w:r w:rsidR="004C2EFA" w:rsidRPr="004C2EFA">
        <w:rPr>
          <w:rFonts w:cs="Arial"/>
          <w:szCs w:val="27"/>
        </w:rPr>
        <w:t>g</w:t>
      </w:r>
      <w:r w:rsidR="00EB3218">
        <w:rPr>
          <w:rFonts w:cs="Arial"/>
          <w:szCs w:val="27"/>
        </w:rPr>
        <w:t>ià prima della pandemia faticava</w:t>
      </w:r>
      <w:r w:rsidR="004C2EFA" w:rsidRPr="004C2EFA">
        <w:rPr>
          <w:rFonts w:cs="Arial"/>
          <w:szCs w:val="27"/>
        </w:rPr>
        <w:t xml:space="preserve"> ad arrivare</w:t>
      </w:r>
      <w:r w:rsidR="00EB3218">
        <w:rPr>
          <w:rFonts w:cs="Arial"/>
          <w:szCs w:val="27"/>
        </w:rPr>
        <w:t xml:space="preserve"> a fine mese, adesso è costretta</w:t>
      </w:r>
      <w:r w:rsidR="004C2EFA" w:rsidRPr="004C2EFA">
        <w:rPr>
          <w:rFonts w:cs="Arial"/>
          <w:szCs w:val="27"/>
        </w:rPr>
        <w:t xml:space="preserve"> ad affrontare una </w:t>
      </w:r>
      <w:r w:rsidR="004C2EFA" w:rsidRPr="004C2EFA">
        <w:rPr>
          <w:rStyle w:val="Enfasigrassetto"/>
          <w:rFonts w:cs="Arial"/>
          <w:b w:val="0"/>
          <w:szCs w:val="27"/>
          <w:bdr w:val="none" w:sz="0" w:space="0" w:color="auto" w:frame="1"/>
        </w:rPr>
        <w:t>doppia</w:t>
      </w:r>
      <w:r w:rsidR="004C2EFA" w:rsidRPr="004C2EFA">
        <w:rPr>
          <w:rStyle w:val="Enfasigrassetto"/>
          <w:rFonts w:cs="Arial"/>
          <w:szCs w:val="27"/>
          <w:bdr w:val="none" w:sz="0" w:space="0" w:color="auto" w:frame="1"/>
        </w:rPr>
        <w:t xml:space="preserve"> </w:t>
      </w:r>
      <w:r w:rsidR="004C2EFA" w:rsidRPr="004C2EFA">
        <w:rPr>
          <w:rStyle w:val="Enfasigrassetto"/>
          <w:rFonts w:cs="Arial"/>
          <w:b w:val="0"/>
          <w:szCs w:val="27"/>
          <w:bdr w:val="none" w:sz="0" w:space="0" w:color="auto" w:frame="1"/>
        </w:rPr>
        <w:t>crisi</w:t>
      </w:r>
      <w:r w:rsidR="004C2EFA" w:rsidRPr="00EB3218">
        <w:rPr>
          <w:rFonts w:cs="Arial"/>
          <w:szCs w:val="27"/>
        </w:rPr>
        <w:t xml:space="preserve">: </w:t>
      </w:r>
      <w:r w:rsidR="004C2EFA" w:rsidRPr="004C2EFA">
        <w:rPr>
          <w:rFonts w:cs="Arial"/>
          <w:szCs w:val="27"/>
        </w:rPr>
        <w:t>sanitaria ed economica</w:t>
      </w:r>
      <w:r w:rsidR="00604B3F">
        <w:rPr>
          <w:rFonts w:cs="Arial"/>
          <w:szCs w:val="27"/>
        </w:rPr>
        <w:t xml:space="preserve"> insieme</w:t>
      </w:r>
      <w:r w:rsidR="004C2EFA" w:rsidRPr="004C2EFA">
        <w:rPr>
          <w:rFonts w:cs="Arial"/>
          <w:szCs w:val="27"/>
        </w:rPr>
        <w:t>.</w:t>
      </w:r>
      <w:r w:rsidR="00EB3218">
        <w:rPr>
          <w:rFonts w:cs="Arial"/>
          <w:szCs w:val="27"/>
        </w:rPr>
        <w:t xml:space="preserve"> </w:t>
      </w:r>
    </w:p>
    <w:p w:rsidR="00604B3F" w:rsidRDefault="00604B3F" w:rsidP="00EB3218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szCs w:val="27"/>
        </w:rPr>
      </w:pPr>
      <w:r>
        <w:rPr>
          <w:rFonts w:cs="Arial"/>
          <w:szCs w:val="27"/>
        </w:rPr>
        <w:t>Neanche l’assegnazione del Reddito di Cittadinanza</w:t>
      </w:r>
      <w:r w:rsidR="00A2257B">
        <w:rPr>
          <w:rFonts w:cs="Arial"/>
          <w:szCs w:val="27"/>
        </w:rPr>
        <w:t xml:space="preserve">, </w:t>
      </w:r>
      <w:r w:rsidR="005D6FF0">
        <w:rPr>
          <w:rFonts w:cs="Arial"/>
          <w:szCs w:val="27"/>
        </w:rPr>
        <w:t>(riferito da circa il 40% delle persone seguite nel mese)</w:t>
      </w:r>
      <w:r>
        <w:rPr>
          <w:rFonts w:cs="Arial"/>
          <w:szCs w:val="27"/>
        </w:rPr>
        <w:t>, rie</w:t>
      </w:r>
      <w:r w:rsidR="005D6FF0">
        <w:rPr>
          <w:rFonts w:cs="Arial"/>
          <w:szCs w:val="27"/>
        </w:rPr>
        <w:t xml:space="preserve">sce ad attenuare le criticità presenti nei nuclei più disagiati, nelle famiglie numerose, tra gli stranieri. </w:t>
      </w:r>
    </w:p>
    <w:p w:rsidR="00396DDA" w:rsidRDefault="00396DDA" w:rsidP="00EB3218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szCs w:val="27"/>
        </w:rPr>
      </w:pPr>
      <w:r>
        <w:rPr>
          <w:rFonts w:cs="Arial"/>
          <w:szCs w:val="27"/>
        </w:rPr>
        <w:t xml:space="preserve">Nei due grafici in basso sono state estrapolate </w:t>
      </w:r>
      <w:r w:rsidR="00343CA9">
        <w:rPr>
          <w:rFonts w:cs="Arial"/>
          <w:szCs w:val="27"/>
        </w:rPr>
        <w:t xml:space="preserve">dal totale dei bisogni, </w:t>
      </w:r>
      <w:r>
        <w:rPr>
          <w:rFonts w:cs="Arial"/>
          <w:szCs w:val="27"/>
        </w:rPr>
        <w:t xml:space="preserve">solo due voci (situazione occupazionale ed economica) </w:t>
      </w:r>
      <w:r w:rsidR="00353B8F">
        <w:rPr>
          <w:rFonts w:cs="Arial"/>
          <w:szCs w:val="27"/>
        </w:rPr>
        <w:t>indicative dell’attuale situazione di crisi in atto.</w:t>
      </w:r>
    </w:p>
    <w:p w:rsidR="00353B8F" w:rsidRDefault="00353B8F" w:rsidP="00EB3218">
      <w:pPr>
        <w:autoSpaceDE w:val="0"/>
        <w:autoSpaceDN w:val="0"/>
        <w:adjustRightInd w:val="0"/>
        <w:spacing w:after="200" w:line="360" w:lineRule="auto"/>
        <w:jc w:val="both"/>
        <w:rPr>
          <w:rFonts w:cs="Arial"/>
          <w:szCs w:val="27"/>
        </w:rPr>
      </w:pPr>
    </w:p>
    <w:p w:rsidR="00604B3F" w:rsidRDefault="00604B3F" w:rsidP="00604B3F">
      <w:pPr>
        <w:autoSpaceDE w:val="0"/>
        <w:autoSpaceDN w:val="0"/>
        <w:adjustRightInd w:val="0"/>
        <w:spacing w:after="200" w:line="360" w:lineRule="auto"/>
        <w:jc w:val="center"/>
        <w:rPr>
          <w:rFonts w:ascii="Calibri" w:hAnsi="Calibri" w:cs="Calibri"/>
          <w:bCs/>
        </w:rPr>
      </w:pPr>
      <w:r w:rsidRPr="00604B3F">
        <w:rPr>
          <w:rFonts w:ascii="Calibri" w:hAnsi="Calibri" w:cs="Calibri"/>
          <w:bCs/>
          <w:noProof/>
          <w:lang w:eastAsia="it-IT"/>
        </w:rPr>
        <w:drawing>
          <wp:inline distT="0" distB="0" distL="0" distR="0">
            <wp:extent cx="4200525" cy="2286000"/>
            <wp:effectExtent l="19050" t="0" r="9525" b="0"/>
            <wp:docPr id="3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4B3F" w:rsidRPr="00EB3218" w:rsidRDefault="00604B3F" w:rsidP="00604B3F">
      <w:pPr>
        <w:autoSpaceDE w:val="0"/>
        <w:autoSpaceDN w:val="0"/>
        <w:adjustRightInd w:val="0"/>
        <w:spacing w:after="200" w:line="360" w:lineRule="auto"/>
        <w:jc w:val="center"/>
        <w:rPr>
          <w:rFonts w:ascii="Calibri" w:hAnsi="Calibri" w:cs="Calibri"/>
          <w:bCs/>
        </w:rPr>
      </w:pPr>
      <w:r w:rsidRPr="00604B3F">
        <w:rPr>
          <w:rFonts w:ascii="Calibri" w:hAnsi="Calibri" w:cs="Calibri"/>
          <w:bCs/>
          <w:noProof/>
          <w:lang w:eastAsia="it-IT"/>
        </w:rPr>
        <w:lastRenderedPageBreak/>
        <w:drawing>
          <wp:inline distT="0" distB="0" distL="0" distR="0">
            <wp:extent cx="4248150" cy="2305050"/>
            <wp:effectExtent l="19050" t="0" r="19050" b="0"/>
            <wp:docPr id="4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2EFA" w:rsidRPr="005168CB" w:rsidRDefault="004C2EFA" w:rsidP="00763DB6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bCs/>
        </w:rPr>
      </w:pPr>
    </w:p>
    <w:p w:rsidR="00FB0382" w:rsidRDefault="00FB0382" w:rsidP="008A1E91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Gli interventi</w:t>
      </w: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Nei giorni 15, 16, 17 dicembre la Caritas </w:t>
      </w:r>
      <w:r w:rsidR="008A1E91">
        <w:rPr>
          <w:rFonts w:ascii="Calibri" w:hAnsi="Calibri" w:cs="Calibri"/>
          <w:color w:val="000000"/>
        </w:rPr>
        <w:t xml:space="preserve">diocesana ha organizzato la </w:t>
      </w:r>
      <w:r w:rsidR="008A1E91" w:rsidRPr="00177785">
        <w:rPr>
          <w:rFonts w:ascii="Calibri" w:hAnsi="Calibri" w:cs="Calibri"/>
          <w:b/>
          <w:color w:val="000000"/>
        </w:rPr>
        <w:t>IV D</w:t>
      </w:r>
      <w:r w:rsidRPr="00177785">
        <w:rPr>
          <w:rFonts w:ascii="Calibri" w:hAnsi="Calibri" w:cs="Calibri"/>
          <w:b/>
          <w:color w:val="000000"/>
        </w:rPr>
        <w:t>istribuzione di Panieri Alimentari</w:t>
      </w:r>
      <w:r>
        <w:rPr>
          <w:rFonts w:ascii="Calibri" w:hAnsi="Calibri" w:cs="Calibri"/>
          <w:color w:val="000000"/>
        </w:rPr>
        <w:t xml:space="preserve"> rivolta alle tante persone </w:t>
      </w:r>
      <w:r w:rsidR="008A1E91">
        <w:rPr>
          <w:rFonts w:ascii="Calibri" w:hAnsi="Calibri" w:cs="Calibri"/>
          <w:color w:val="000000"/>
        </w:rPr>
        <w:t xml:space="preserve">del territorio </w:t>
      </w:r>
      <w:r w:rsidR="006C3409">
        <w:rPr>
          <w:rFonts w:ascii="Calibri" w:hAnsi="Calibri" w:cs="Calibri"/>
          <w:color w:val="000000"/>
        </w:rPr>
        <w:t xml:space="preserve">che </w:t>
      </w:r>
      <w:r>
        <w:rPr>
          <w:rFonts w:ascii="Calibri" w:hAnsi="Calibri" w:cs="Calibri"/>
          <w:color w:val="000000"/>
        </w:rPr>
        <w:t xml:space="preserve">stanno subendo gravi conseguenze </w:t>
      </w:r>
      <w:r w:rsidR="006C3409">
        <w:rPr>
          <w:rFonts w:ascii="Calibri" w:hAnsi="Calibri" w:cs="Calibri"/>
          <w:color w:val="000000"/>
        </w:rPr>
        <w:t>a livello sia economico sia</w:t>
      </w:r>
      <w:r>
        <w:rPr>
          <w:rFonts w:ascii="Calibri" w:hAnsi="Calibri" w:cs="Calibri"/>
          <w:color w:val="000000"/>
        </w:rPr>
        <w:t xml:space="preserve"> </w:t>
      </w:r>
      <w:r w:rsidR="006C3409">
        <w:rPr>
          <w:rFonts w:ascii="Calibri" w:hAnsi="Calibri" w:cs="Calibri"/>
          <w:color w:val="000000"/>
        </w:rPr>
        <w:t>occupazionale</w:t>
      </w:r>
      <w:r w:rsidR="00BA5683">
        <w:rPr>
          <w:rFonts w:ascii="Calibri" w:hAnsi="Calibri" w:cs="Calibri"/>
          <w:color w:val="000000"/>
        </w:rPr>
        <w:t>,</w:t>
      </w:r>
      <w:r w:rsidR="006C3409">
        <w:rPr>
          <w:rFonts w:ascii="Calibri" w:hAnsi="Calibri" w:cs="Calibri"/>
          <w:color w:val="000000"/>
        </w:rPr>
        <w:t xml:space="preserve"> a causa della diffusione della pandemia</w:t>
      </w:r>
      <w:r>
        <w:rPr>
          <w:rFonts w:ascii="Calibri" w:hAnsi="Calibri" w:cs="Calibri"/>
          <w:color w:val="000000"/>
        </w:rPr>
        <w:t>.</w:t>
      </w: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panieri offerti sono stati suddivisi, in base ai componenti del nucleo familiare che ne ha fatto richiesta, in Minimum (1 persona), Smart (2/3 persone), Medium (4/6 persone), Large (da 7 persone e oltre).</w:t>
      </w: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totale sono stati distribuiti </w:t>
      </w:r>
      <w:r w:rsidRPr="00FB0382">
        <w:rPr>
          <w:rFonts w:ascii="Calibri" w:hAnsi="Calibri" w:cs="Calibri"/>
          <w:b/>
          <w:color w:val="000000"/>
        </w:rPr>
        <w:t xml:space="preserve">436 </w:t>
      </w:r>
      <w:r>
        <w:rPr>
          <w:rFonts w:ascii="Calibri" w:hAnsi="Calibri" w:cs="Calibri"/>
          <w:color w:val="000000"/>
        </w:rPr>
        <w:t xml:space="preserve">Panieri, offerti in prevalenza alle famiglie più numerose. </w:t>
      </w:r>
    </w:p>
    <w:tbl>
      <w:tblPr>
        <w:tblW w:w="58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752"/>
        <w:gridCol w:w="626"/>
        <w:gridCol w:w="626"/>
        <w:gridCol w:w="626"/>
        <w:gridCol w:w="1170"/>
      </w:tblGrid>
      <w:tr w:rsidR="00BB6DE4" w:rsidRPr="00BB6DE4" w:rsidTr="00BB6DE4">
        <w:trPr>
          <w:trHeight w:val="300"/>
          <w:jc w:val="center"/>
        </w:trPr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i/>
                <w:color w:val="000000"/>
                <w:lang w:eastAsia="it-IT"/>
              </w:rPr>
              <w:t>Giornate</w:t>
            </w:r>
          </w:p>
        </w:tc>
      </w:tr>
      <w:tr w:rsidR="00BB6DE4" w:rsidRPr="00BB6DE4" w:rsidTr="00BB6DE4">
        <w:trPr>
          <w:trHeight w:val="300"/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Panieri Dicembre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TOTALI</w:t>
            </w:r>
          </w:p>
        </w:tc>
      </w:tr>
      <w:tr w:rsidR="00BB6DE4" w:rsidRPr="00BB6DE4" w:rsidTr="00BB6DE4">
        <w:trPr>
          <w:trHeight w:val="300"/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MINIMUM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</w:tr>
      <w:tr w:rsidR="00BB6DE4" w:rsidRPr="00BB6DE4" w:rsidTr="00BB6DE4">
        <w:trPr>
          <w:trHeight w:val="300"/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SMART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69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190</w:t>
            </w:r>
          </w:p>
        </w:tc>
      </w:tr>
      <w:tr w:rsidR="00BB6DE4" w:rsidRPr="00BB6DE4" w:rsidTr="00BB6DE4">
        <w:trPr>
          <w:trHeight w:val="300"/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MEDIUM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186</w:t>
            </w:r>
          </w:p>
        </w:tc>
      </w:tr>
      <w:tr w:rsidR="00BB6DE4" w:rsidRPr="00BB6DE4" w:rsidTr="00BB6DE4">
        <w:trPr>
          <w:trHeight w:val="300"/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LARGE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</w:tr>
      <w:tr w:rsidR="00BB6DE4" w:rsidRPr="00BB6DE4" w:rsidTr="00BB6DE4">
        <w:trPr>
          <w:trHeight w:val="300"/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:rsidR="00BB6DE4" w:rsidRPr="00BB6DE4" w:rsidRDefault="00BB6DE4" w:rsidP="00BB6D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BB6DE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436</w:t>
            </w:r>
          </w:p>
        </w:tc>
      </w:tr>
    </w:tbl>
    <w:p w:rsidR="00FB0382" w:rsidRDefault="00FB0382" w:rsidP="00BB6DE4">
      <w:pPr>
        <w:autoSpaceDE w:val="0"/>
        <w:autoSpaceDN w:val="0"/>
        <w:adjustRightInd w:val="0"/>
        <w:spacing w:after="200" w:line="360" w:lineRule="auto"/>
        <w:jc w:val="center"/>
        <w:rPr>
          <w:rFonts w:ascii="Calibri" w:hAnsi="Calibri" w:cs="Calibri"/>
          <w:color w:val="000000"/>
        </w:rPr>
      </w:pPr>
    </w:p>
    <w:p w:rsidR="00FB0382" w:rsidRDefault="00E72176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maggioranza dei panieri (289) è andata ai residenti in città e 147 agli abitanti dei paesi della </w:t>
      </w:r>
      <w:r w:rsidR="002E56E7">
        <w:rPr>
          <w:rFonts w:ascii="Calibri" w:hAnsi="Calibri" w:cs="Calibri"/>
          <w:color w:val="000000"/>
        </w:rPr>
        <w:t>provincia</w:t>
      </w:r>
      <w:r>
        <w:rPr>
          <w:rFonts w:ascii="Calibri" w:hAnsi="Calibri" w:cs="Calibri"/>
          <w:color w:val="000000"/>
        </w:rPr>
        <w:t>.</w:t>
      </w:r>
    </w:p>
    <w:p w:rsidR="00932898" w:rsidRDefault="00932898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BA5683" w:rsidRDefault="00BA5683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:rsidR="00BA5683" w:rsidRDefault="00BA5683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tbl>
      <w:tblPr>
        <w:tblW w:w="3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960"/>
      </w:tblGrid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b/>
                <w:color w:val="000000"/>
                <w:szCs w:val="18"/>
                <w:lang w:eastAsia="it-IT"/>
              </w:rPr>
              <w:lastRenderedPageBreak/>
              <w:t>Provenienza richiedenti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Benevento (BN)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289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Airola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Altavilla Irpina (AV)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Apice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Apollosa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Arpaise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Calvi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Campolattaro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Castelpoto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Cautano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Ceppaloni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Cervinara (AV)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Circello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Colle Sannita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Foiano di Val Fortore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Fragneto Monforte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Molinara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Montesarchio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Paduli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Pago Veiano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Pannarano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Paupisi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Pietrelcina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Roccabascerana (AV)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Rotondi (AV)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Giorgio del Sannio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Giorgio La Molara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21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Leucio del Sannio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Marco dei Cavoti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32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Martino Valle Caudina (AV)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Nazzaro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 Nicola Manfredi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Sant'Angelo a Cupolo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Tocco Caudio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Torrecuso (BN)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Tufara (CB)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Tufo (AV)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E72176" w:rsidRPr="00E72176" w:rsidTr="00E7217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E72176" w:rsidRPr="00E72176" w:rsidRDefault="00E72176" w:rsidP="00E72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7217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436</w:t>
            </w:r>
          </w:p>
        </w:tc>
      </w:tr>
    </w:tbl>
    <w:p w:rsidR="00E72176" w:rsidRDefault="00E72176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Oltre ai Panieri Alimentari, la quasi totalità degli interventi effettuati nel mese, ha riguardato l’erogazione di buoni spesa presso</w:t>
      </w:r>
      <w:r w:rsidR="002E56E7">
        <w:rPr>
          <w:rFonts w:ascii="Calibri" w:hAnsi="Calibri" w:cs="Calibri"/>
          <w:color w:val="000000"/>
        </w:rPr>
        <w:t xml:space="preserve"> il Market Solidale ed i pasti M</w:t>
      </w:r>
      <w:r>
        <w:rPr>
          <w:rFonts w:ascii="Calibri" w:hAnsi="Calibri" w:cs="Calibri"/>
          <w:color w:val="000000"/>
        </w:rPr>
        <w:t xml:space="preserve">ensa. </w:t>
      </w:r>
    </w:p>
    <w:p w:rsidR="00FB0382" w:rsidRDefault="00FB0382" w:rsidP="00FB0382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seguire si colloca</w:t>
      </w:r>
      <w:r w:rsidR="008A1E91"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</w:rPr>
        <w:t xml:space="preserve"> il contr</w:t>
      </w:r>
      <w:r w:rsidR="008A1E91">
        <w:rPr>
          <w:rFonts w:ascii="Calibri" w:hAnsi="Calibri" w:cs="Calibri"/>
          <w:color w:val="000000"/>
        </w:rPr>
        <w:t>ibuto al pagamento delle utenze</w:t>
      </w:r>
      <w:r>
        <w:rPr>
          <w:rFonts w:ascii="Calibri" w:hAnsi="Calibri" w:cs="Calibri"/>
          <w:color w:val="000000"/>
        </w:rPr>
        <w:t xml:space="preserve"> </w:t>
      </w:r>
      <w:r w:rsidR="008A1E91">
        <w:rPr>
          <w:rFonts w:ascii="Calibri" w:hAnsi="Calibri" w:cs="Calibri"/>
          <w:color w:val="000000"/>
        </w:rPr>
        <w:t>e le richieste di ospitalità presso il dormitorio</w:t>
      </w:r>
      <w:r>
        <w:rPr>
          <w:rFonts w:ascii="Calibri" w:hAnsi="Calibri" w:cs="Calibri"/>
          <w:color w:val="000000"/>
        </w:rPr>
        <w:t>.</w:t>
      </w:r>
    </w:p>
    <w:p w:rsidR="00FB0382" w:rsidRDefault="0020616B" w:rsidP="00FB0382">
      <w:pPr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color w:val="000000"/>
        </w:rPr>
      </w:pPr>
      <w:r>
        <w:rPr>
          <w:noProof/>
          <w:lang w:eastAsia="it-IT"/>
        </w:rPr>
        <w:drawing>
          <wp:inline distT="0" distB="0" distL="0" distR="0">
            <wp:extent cx="4295775" cy="2314575"/>
            <wp:effectExtent l="0" t="0" r="9525" b="9525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2898" w:rsidRDefault="00932898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Servizio Mensa Diocesana 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>Pasti erogati a dicembre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 corso del mese di dicembre, la Mensa Caritas ha continuato ad offrire esclusivamente pasti da asporto al fine di garantire la massima sicurezza agli assistiti. 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pasti offerti sono stati in totale </w:t>
      </w:r>
      <w:r>
        <w:rPr>
          <w:rFonts w:ascii="Calibri" w:hAnsi="Calibri" w:cs="Calibri"/>
          <w:b/>
          <w:bCs/>
        </w:rPr>
        <w:t>2.169</w:t>
      </w:r>
      <w:r>
        <w:rPr>
          <w:rFonts w:ascii="Calibri" w:hAnsi="Calibri" w:cs="Calibri"/>
        </w:rPr>
        <w:t>, in netta crescita rispetto al mese scorso (+308</w:t>
      </w:r>
      <w:r w:rsidR="008A1E91">
        <w:rPr>
          <w:rFonts w:ascii="Calibri" w:hAnsi="Calibri" w:cs="Calibri"/>
        </w:rPr>
        <w:t xml:space="preserve"> pasti), </w:t>
      </w:r>
      <w:r>
        <w:rPr>
          <w:rFonts w:ascii="Calibri" w:hAnsi="Calibri" w:cs="Calibri"/>
        </w:rPr>
        <w:t xml:space="preserve">con un incremento percentuale pari al 16%. La media giornaliera del mese è pari a 72 pasti. </w:t>
      </w:r>
    </w:p>
    <w:p w:rsidR="00C15426" w:rsidRDefault="00C15426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numero totale di pasti offerti nell’anno è di </w:t>
      </w:r>
      <w:r w:rsidRPr="00C15426">
        <w:rPr>
          <w:rFonts w:ascii="Calibri" w:hAnsi="Calibri" w:cs="Calibri"/>
          <w:b/>
        </w:rPr>
        <w:t>27.031</w:t>
      </w:r>
      <w:r>
        <w:rPr>
          <w:rFonts w:ascii="Calibri" w:hAnsi="Calibri" w:cs="Calibri"/>
        </w:rPr>
        <w:t xml:space="preserve">, con un decremento percentuale sul 2019 pari a </w:t>
      </w:r>
      <w:r w:rsidR="007632A6">
        <w:rPr>
          <w:rFonts w:ascii="Calibri" w:hAnsi="Calibri" w:cs="Calibri"/>
        </w:rPr>
        <w:t>-</w:t>
      </w:r>
      <w:r>
        <w:rPr>
          <w:rFonts w:ascii="Calibri" w:hAnsi="Calibri" w:cs="Calibri"/>
        </w:rPr>
        <w:t>5.3%.</w:t>
      </w:r>
    </w:p>
    <w:p w:rsidR="00932898" w:rsidRDefault="0093289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932898" w:rsidRDefault="00932898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tbl>
      <w:tblPr>
        <w:tblW w:w="0" w:type="auto"/>
        <w:tblInd w:w="1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9"/>
        <w:gridCol w:w="855"/>
        <w:gridCol w:w="986"/>
        <w:gridCol w:w="855"/>
        <w:gridCol w:w="986"/>
        <w:gridCol w:w="855"/>
        <w:gridCol w:w="986"/>
        <w:gridCol w:w="855"/>
        <w:gridCol w:w="986"/>
        <w:gridCol w:w="1060"/>
      </w:tblGrid>
      <w:tr w:rsidR="00FB0382" w:rsidTr="006C103A">
        <w:trPr>
          <w:trHeight w:val="638"/>
        </w:trPr>
        <w:tc>
          <w:tcPr>
            <w:tcW w:w="110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000000" w:fill="78909C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Mese</w:t>
            </w:r>
          </w:p>
        </w:tc>
        <w:tc>
          <w:tcPr>
            <w:tcW w:w="1841" w:type="dxa"/>
            <w:gridSpan w:val="2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D966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Pranzo</w:t>
            </w:r>
          </w:p>
        </w:tc>
        <w:tc>
          <w:tcPr>
            <w:tcW w:w="1841" w:type="dxa"/>
            <w:gridSpan w:val="2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</w:t>
            </w:r>
          </w:p>
        </w:tc>
        <w:tc>
          <w:tcPr>
            <w:tcW w:w="1841" w:type="dxa"/>
            <w:gridSpan w:val="2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Tavola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  <w:t>(Pranzo + Cena)</w:t>
            </w:r>
          </w:p>
        </w:tc>
        <w:tc>
          <w:tcPr>
            <w:tcW w:w="1841" w:type="dxa"/>
            <w:gridSpan w:val="2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Asporto</w:t>
            </w:r>
          </w:p>
        </w:tc>
        <w:tc>
          <w:tcPr>
            <w:tcW w:w="1060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Totale</w:t>
            </w:r>
          </w:p>
        </w:tc>
      </w:tr>
      <w:tr w:rsidR="00FB0382" w:rsidTr="006C103A">
        <w:trPr>
          <w:trHeight w:val="439"/>
        </w:trPr>
        <w:tc>
          <w:tcPr>
            <w:tcW w:w="110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D966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D966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Media Giornaliera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Media Giornaliera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Media Giornaliera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Media Giornaliera</w:t>
            </w:r>
          </w:p>
        </w:tc>
        <w:tc>
          <w:tcPr>
            <w:tcW w:w="1060" w:type="dxa"/>
            <w:vMerge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B0382" w:rsidTr="006C103A">
        <w:trPr>
          <w:trHeight w:val="194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EBEFF1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Gennaio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2654</w:t>
            </w:r>
          </w:p>
        </w:tc>
      </w:tr>
      <w:tr w:rsidR="00FB0382" w:rsidTr="006C103A">
        <w:trPr>
          <w:trHeight w:val="251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Febbraio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2268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EBEFF1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Marzo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2368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Aprile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2294</w:t>
            </w:r>
          </w:p>
        </w:tc>
      </w:tr>
      <w:tr w:rsidR="00FB0382" w:rsidTr="006C103A">
        <w:trPr>
          <w:trHeight w:val="209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EBEFF1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Maggio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2761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Giugno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1887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EBEFF1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Luglio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2207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Agosto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2259</w:t>
            </w:r>
          </w:p>
        </w:tc>
      </w:tr>
      <w:tr w:rsidR="00FB0382" w:rsidTr="006C103A">
        <w:trPr>
          <w:trHeight w:val="209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EBEFF1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Settembre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2186 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2186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Ottobre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2117 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2117 </w:t>
            </w:r>
          </w:p>
        </w:tc>
      </w:tr>
      <w:tr w:rsidR="00FB0382" w:rsidTr="006C103A">
        <w:trPr>
          <w:trHeight w:val="209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000000" w:fill="EBEFF1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color w:val="000000"/>
                <w:sz w:val="20"/>
                <w:szCs w:val="18"/>
              </w:rPr>
              <w:t>Novembre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1861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62 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1861</w:t>
            </w:r>
          </w:p>
        </w:tc>
      </w:tr>
      <w:tr w:rsidR="00FB0382" w:rsidTr="006C103A">
        <w:trPr>
          <w:trHeight w:val="186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B0382" w:rsidRPr="006C103A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6C103A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Dicembre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FFF2CC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2169 </w:t>
            </w:r>
          </w:p>
        </w:tc>
      </w:tr>
      <w:tr w:rsidR="00FB0382" w:rsidTr="006C103A">
        <w:trPr>
          <w:trHeight w:val="392"/>
        </w:trPr>
        <w:tc>
          <w:tcPr>
            <w:tcW w:w="1109" w:type="dxa"/>
            <w:tcBorders>
              <w:top w:val="single" w:sz="6" w:space="0" w:color="CCCCCC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shd w:val="clear" w:color="000000" w:fill="D0E0E3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Totale pasti 2020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nil"/>
              <w:bottom w:val="single" w:sz="9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2212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nil"/>
              <w:bottom w:val="single" w:sz="9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nil"/>
              <w:bottom w:val="single" w:sz="9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8761D"/>
                <w:sz w:val="24"/>
                <w:szCs w:val="24"/>
              </w:rPr>
              <w:t>2212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nil"/>
              <w:bottom w:val="single" w:sz="9" w:space="0" w:color="000000"/>
              <w:right w:val="single" w:sz="6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9" w:space="0" w:color="000000"/>
              <w:right w:val="single" w:sz="9" w:space="0" w:color="000000"/>
            </w:tcBorders>
            <w:shd w:val="clear" w:color="000000" w:fill="auto"/>
            <w:vAlign w:val="bottom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A64D79"/>
                <w:sz w:val="28"/>
                <w:szCs w:val="28"/>
              </w:rPr>
              <w:t>27.031</w:t>
            </w:r>
          </w:p>
        </w:tc>
      </w:tr>
    </w:tbl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Buoni Market</w:t>
      </w:r>
    </w:p>
    <w:p w:rsidR="00C32C34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dicembre sono stati emessi </w:t>
      </w:r>
      <w:r w:rsidR="00926859">
        <w:rPr>
          <w:rFonts w:ascii="Calibri" w:hAnsi="Calibri" w:cs="Calibri"/>
        </w:rPr>
        <w:t xml:space="preserve"> </w:t>
      </w:r>
      <w:r w:rsidR="00926859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 xml:space="preserve">6 </w:t>
      </w:r>
      <w:r>
        <w:rPr>
          <w:rFonts w:ascii="Calibri" w:hAnsi="Calibri" w:cs="Calibri"/>
        </w:rPr>
        <w:t xml:space="preserve">Buoni Market. </w:t>
      </w:r>
      <w:r w:rsidR="00926859">
        <w:rPr>
          <w:rFonts w:ascii="Calibri" w:hAnsi="Calibri" w:cs="Calibri"/>
        </w:rPr>
        <w:t>Sul numero molto ridotto</w:t>
      </w:r>
      <w:r w:rsidR="00C32C34">
        <w:rPr>
          <w:rFonts w:ascii="Calibri" w:hAnsi="Calibri" w:cs="Calibri"/>
        </w:rPr>
        <w:t>,</w:t>
      </w:r>
      <w:r w:rsidR="00926859">
        <w:rPr>
          <w:rFonts w:ascii="Calibri" w:hAnsi="Calibri" w:cs="Calibri"/>
        </w:rPr>
        <w:t xml:space="preserve"> ha influito la distribuzione organizzata</w:t>
      </w:r>
      <w:r w:rsidR="00C32C34">
        <w:rPr>
          <w:rFonts w:ascii="Calibri" w:hAnsi="Calibri" w:cs="Calibri"/>
        </w:rPr>
        <w:t xml:space="preserve"> nelle tre giornate di dicembre</w:t>
      </w:r>
      <w:r w:rsidR="00926859">
        <w:rPr>
          <w:rFonts w:ascii="Calibri" w:hAnsi="Calibri" w:cs="Calibri"/>
        </w:rPr>
        <w:t xml:space="preserve">. </w:t>
      </w:r>
    </w:p>
    <w:p w:rsidR="00FB0382" w:rsidRDefault="00C32C34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 B</w:t>
      </w:r>
      <w:r w:rsidR="00926859">
        <w:rPr>
          <w:rFonts w:ascii="Calibri" w:hAnsi="Calibri" w:cs="Calibri"/>
        </w:rPr>
        <w:t>uoni</w:t>
      </w:r>
      <w:r w:rsidR="00FB0382">
        <w:rPr>
          <w:rFonts w:ascii="Calibri" w:hAnsi="Calibri" w:cs="Calibri"/>
        </w:rPr>
        <w:t xml:space="preserve"> sono stati distribuiti tra </w:t>
      </w:r>
      <w:proofErr w:type="spellStart"/>
      <w:r w:rsidR="00FB0382">
        <w:rPr>
          <w:rFonts w:ascii="Calibri" w:hAnsi="Calibri" w:cs="Calibri"/>
        </w:rPr>
        <w:t>CdA</w:t>
      </w:r>
      <w:proofErr w:type="spellEnd"/>
      <w:r w:rsidR="00FB0382">
        <w:rPr>
          <w:rFonts w:ascii="Calibri" w:hAnsi="Calibri" w:cs="Calibri"/>
        </w:rPr>
        <w:t xml:space="preserve"> diocesano e Ufficio Immigrazione mentre tra le Caritas Parrocchiali, quelle che, nel mese, ne hanno richiesti in numero maggiore sono state la Parrocchia S. Maria di </w:t>
      </w:r>
      <w:r w:rsidR="00926859">
        <w:rPr>
          <w:rFonts w:ascii="Calibri" w:hAnsi="Calibri" w:cs="Calibri"/>
        </w:rPr>
        <w:t>Costantinopoli (n°12) e quella di S. Giorgio del Sannio (n°11).</w:t>
      </w:r>
    </w:p>
    <w:p w:rsidR="00C15426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 oggi il totale dei buoni distribuiti dall’inizio dell’anno ha raggiunto quota </w:t>
      </w:r>
      <w:r>
        <w:rPr>
          <w:rFonts w:ascii="Calibri" w:hAnsi="Calibri" w:cs="Calibri"/>
          <w:b/>
          <w:bCs/>
        </w:rPr>
        <w:t>2.3</w:t>
      </w:r>
      <w:r w:rsidR="00926859">
        <w:rPr>
          <w:rFonts w:ascii="Calibri" w:hAnsi="Calibri" w:cs="Calibri"/>
          <w:b/>
          <w:bCs/>
        </w:rPr>
        <w:t>85</w:t>
      </w:r>
      <w:r w:rsidR="00FA5DE6">
        <w:rPr>
          <w:rFonts w:ascii="Calibri" w:hAnsi="Calibri" w:cs="Calibri"/>
          <w:b/>
          <w:bCs/>
        </w:rPr>
        <w:t>, -</w:t>
      </w:r>
      <w:r w:rsidR="00FA5DE6" w:rsidRPr="00FA5DE6">
        <w:rPr>
          <w:rFonts w:ascii="Calibri" w:hAnsi="Calibri" w:cs="Calibri"/>
          <w:bCs/>
        </w:rPr>
        <w:t xml:space="preserve">13% </w:t>
      </w:r>
      <w:r w:rsidR="00FA5DE6">
        <w:rPr>
          <w:rFonts w:ascii="Calibri" w:hAnsi="Calibri" w:cs="Calibri"/>
          <w:bCs/>
        </w:rPr>
        <w:t>sul 2019</w:t>
      </w:r>
      <w:r w:rsidR="00E43737">
        <w:rPr>
          <w:rFonts w:ascii="Calibri" w:hAnsi="Calibri" w:cs="Calibri"/>
        </w:rPr>
        <w:t>.</w:t>
      </w:r>
    </w:p>
    <w:p w:rsidR="00E43737" w:rsidRDefault="00E47CA8" w:rsidP="00E47CA8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E47CA8">
        <w:rPr>
          <w:noProof/>
          <w:lang w:eastAsia="it-IT"/>
        </w:rPr>
        <w:lastRenderedPageBreak/>
        <w:drawing>
          <wp:inline distT="0" distB="0" distL="0" distR="0">
            <wp:extent cx="6238874" cy="30099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142" cy="301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Dormitorio “S. Vincenzo de Paoli”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Ospiti di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7415DE">
        <w:rPr>
          <w:rFonts w:ascii="Calibri" w:hAnsi="Calibri" w:cs="Calibri"/>
          <w:i/>
          <w:iCs/>
        </w:rPr>
        <w:t>dicembre</w:t>
      </w:r>
    </w:p>
    <w:p w:rsidR="00FB0382" w:rsidRDefault="00FB0382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Dormitorio ha ospitato nel mese in esame, </w:t>
      </w:r>
      <w:r w:rsidR="002F66A9" w:rsidRPr="00712D56">
        <w:rPr>
          <w:rFonts w:ascii="Calibri" w:hAnsi="Calibri" w:cs="Calibri"/>
          <w:b/>
        </w:rPr>
        <w:t>11</w:t>
      </w:r>
      <w:r w:rsidR="002F66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persone, </w:t>
      </w:r>
      <w:r w:rsidR="002F66A9">
        <w:rPr>
          <w:rFonts w:ascii="Calibri" w:hAnsi="Calibri" w:cs="Calibri"/>
        </w:rPr>
        <w:t xml:space="preserve">2 </w:t>
      </w:r>
      <w:r>
        <w:rPr>
          <w:rFonts w:ascii="Calibri" w:hAnsi="Calibri" w:cs="Calibri"/>
        </w:rPr>
        <w:t xml:space="preserve">di cittadinanza italiana e </w:t>
      </w:r>
      <w:r w:rsidR="002F66A9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di cittadinanza straniera</w:t>
      </w:r>
      <w:r w:rsidR="00712D56">
        <w:rPr>
          <w:rFonts w:ascii="Calibri" w:hAnsi="Calibri" w:cs="Calibri"/>
        </w:rPr>
        <w:t>, 3 le donne tutte straniere</w:t>
      </w:r>
      <w:r>
        <w:rPr>
          <w:rFonts w:ascii="Calibri" w:hAnsi="Calibri" w:cs="Calibri"/>
        </w:rPr>
        <w:t>.</w:t>
      </w:r>
    </w:p>
    <w:p w:rsidR="007415DE" w:rsidRDefault="007415DE" w:rsidP="00FB0382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74"/>
        <w:gridCol w:w="1322"/>
        <w:gridCol w:w="1322"/>
        <w:gridCol w:w="755"/>
      </w:tblGrid>
      <w:tr w:rsidR="00FB0382">
        <w:trPr>
          <w:trHeight w:val="855"/>
          <w:jc w:val="center"/>
        </w:trPr>
        <w:tc>
          <w:tcPr>
            <w:tcW w:w="1074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 Sesso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 Cittadinanza Italiana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 Cittadinanza Non Italiana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 Totale</w:t>
            </w:r>
          </w:p>
        </w:tc>
      </w:tr>
      <w:tr w:rsidR="00FB0382">
        <w:trPr>
          <w:trHeight w:val="435"/>
          <w:jc w:val="center"/>
        </w:trPr>
        <w:tc>
          <w:tcPr>
            <w:tcW w:w="1074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Femminile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6E6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3</w:t>
            </w:r>
          </w:p>
        </w:tc>
      </w:tr>
      <w:tr w:rsidR="00FB0382">
        <w:trPr>
          <w:trHeight w:val="315"/>
          <w:jc w:val="center"/>
        </w:trPr>
        <w:tc>
          <w:tcPr>
            <w:tcW w:w="1074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Maschile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8</w:t>
            </w:r>
          </w:p>
        </w:tc>
      </w:tr>
      <w:tr w:rsidR="00FB0382">
        <w:trPr>
          <w:trHeight w:val="315"/>
          <w:jc w:val="center"/>
        </w:trPr>
        <w:tc>
          <w:tcPr>
            <w:tcW w:w="1074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FB03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Totale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color w:val="222222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000000" w:fill="DDDDDD"/>
            <w:vAlign w:val="center"/>
          </w:tcPr>
          <w:p w:rsidR="00FB0382" w:rsidRDefault="00CF74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Verdana" w:hAnsi="Verdana" w:cs="Verdana"/>
                <w:b/>
                <w:bCs/>
                <w:color w:val="222222"/>
                <w:sz w:val="16"/>
                <w:szCs w:val="16"/>
              </w:rPr>
              <w:t>11</w:t>
            </w:r>
          </w:p>
        </w:tc>
      </w:tr>
    </w:tbl>
    <w:p w:rsidR="00FB0382" w:rsidRDefault="00FB0382" w:rsidP="00FB038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C937B4" w:rsidRDefault="00C937B4"/>
    <w:sectPr w:rsidR="00C937B4" w:rsidSect="00C32C3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B0382"/>
    <w:rsid w:val="001160C7"/>
    <w:rsid w:val="00177785"/>
    <w:rsid w:val="0020616B"/>
    <w:rsid w:val="002E56E7"/>
    <w:rsid w:val="002F66A9"/>
    <w:rsid w:val="00324FCB"/>
    <w:rsid w:val="00343CA9"/>
    <w:rsid w:val="00353B8F"/>
    <w:rsid w:val="00396DDA"/>
    <w:rsid w:val="004C2EFA"/>
    <w:rsid w:val="005126FD"/>
    <w:rsid w:val="005168CB"/>
    <w:rsid w:val="005D6FF0"/>
    <w:rsid w:val="00604B3F"/>
    <w:rsid w:val="00612B8E"/>
    <w:rsid w:val="006C103A"/>
    <w:rsid w:val="006C3409"/>
    <w:rsid w:val="006E60AC"/>
    <w:rsid w:val="00712D56"/>
    <w:rsid w:val="007415DE"/>
    <w:rsid w:val="007632A6"/>
    <w:rsid w:val="00763DB6"/>
    <w:rsid w:val="00781EB4"/>
    <w:rsid w:val="0081325D"/>
    <w:rsid w:val="008A1E91"/>
    <w:rsid w:val="008F046B"/>
    <w:rsid w:val="00926859"/>
    <w:rsid w:val="00932534"/>
    <w:rsid w:val="00932898"/>
    <w:rsid w:val="00A2257B"/>
    <w:rsid w:val="00B01DAF"/>
    <w:rsid w:val="00B17089"/>
    <w:rsid w:val="00BA5683"/>
    <w:rsid w:val="00BB6DE4"/>
    <w:rsid w:val="00C15426"/>
    <w:rsid w:val="00C32C34"/>
    <w:rsid w:val="00C740BA"/>
    <w:rsid w:val="00C937B4"/>
    <w:rsid w:val="00CD7A08"/>
    <w:rsid w:val="00CF745C"/>
    <w:rsid w:val="00E43737"/>
    <w:rsid w:val="00E47CA8"/>
    <w:rsid w:val="00E72176"/>
    <w:rsid w:val="00E87F2A"/>
    <w:rsid w:val="00EB3218"/>
    <w:rsid w:val="00FA5DE6"/>
    <w:rsid w:val="00F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382"/>
  </w:style>
  <w:style w:type="paragraph" w:styleId="Titolo2">
    <w:name w:val="heading 2"/>
    <w:basedOn w:val="Normale"/>
    <w:link w:val="Titolo2Carattere"/>
    <w:uiPriority w:val="9"/>
    <w:qFormat/>
    <w:rsid w:val="005D6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38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C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2EFA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6F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382"/>
  </w:style>
  <w:style w:type="paragraph" w:styleId="Titolo2">
    <w:name w:val="heading 2"/>
    <w:basedOn w:val="Normale"/>
    <w:link w:val="Titolo2Carattere"/>
    <w:uiPriority w:val="9"/>
    <w:qFormat/>
    <w:rsid w:val="005D6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38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C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2EFA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6F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iccio\Desktop\caritas\elab%20dicembre%202020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iccio\Desktop\caritas\elab%20dicembre%202020.xlsm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style val="10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Situazione occupazionale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900"/>
                </a:pPr>
                <a:endParaRPr lang="it-IT"/>
              </a:p>
            </c:txPr>
            <c:showVal val="1"/>
          </c:dLbls>
          <c:cat>
            <c:strRef>
              <c:f>Foglio2!$G$2:$G$8</c:f>
              <c:strCache>
                <c:ptCount val="7"/>
                <c:pt idx="0">
                  <c:v>Cassa integrazione/mobilità</c:v>
                </c:pt>
                <c:pt idx="1">
                  <c:v>Disoccupazione</c:v>
                </c:pt>
                <c:pt idx="2">
                  <c:v>Lavoro nero</c:v>
                </c:pt>
                <c:pt idx="3">
                  <c:v>Licenziamento/perdita del lavoro</c:v>
                </c:pt>
                <c:pt idx="4">
                  <c:v>Sottoccupazione</c:v>
                </c:pt>
                <c:pt idx="5">
                  <c:v>Lavoro precario</c:v>
                </c:pt>
                <c:pt idx="6">
                  <c:v>Altro</c:v>
                </c:pt>
              </c:strCache>
            </c:strRef>
          </c:cat>
          <c:val>
            <c:numRef>
              <c:f>Foglio2!$H$2:$H$8</c:f>
              <c:numCache>
                <c:formatCode>0.0</c:formatCode>
                <c:ptCount val="7"/>
                <c:pt idx="0">
                  <c:v>5.0279329608938514</c:v>
                </c:pt>
                <c:pt idx="1">
                  <c:v>52.700186219739301</c:v>
                </c:pt>
                <c:pt idx="2">
                  <c:v>13.221601489757909</c:v>
                </c:pt>
                <c:pt idx="3">
                  <c:v>2.7932960893854752</c:v>
                </c:pt>
                <c:pt idx="4">
                  <c:v>0.55865921787709538</c:v>
                </c:pt>
                <c:pt idx="5">
                  <c:v>4.2830540037243976</c:v>
                </c:pt>
                <c:pt idx="6">
                  <c:v>5.5865921787709496</c:v>
                </c:pt>
              </c:numCache>
            </c:numRef>
          </c:val>
        </c:ser>
        <c:dLbls>
          <c:showVal val="1"/>
        </c:dLbls>
        <c:overlap val="-25"/>
        <c:axId val="135885184"/>
        <c:axId val="135886720"/>
      </c:barChart>
      <c:catAx>
        <c:axId val="135885184"/>
        <c:scaling>
          <c:orientation val="minMax"/>
        </c:scaling>
        <c:axPos val="l"/>
        <c:majorTickMark val="none"/>
        <c:tickLblPos val="nextTo"/>
        <c:crossAx val="135886720"/>
        <c:crosses val="autoZero"/>
        <c:auto val="1"/>
        <c:lblAlgn val="ctr"/>
        <c:lblOffset val="100"/>
      </c:catAx>
      <c:valAx>
        <c:axId val="135886720"/>
        <c:scaling>
          <c:orientation val="minMax"/>
        </c:scaling>
        <c:delete val="1"/>
        <c:axPos val="b"/>
        <c:numFmt formatCode="0.0" sourceLinked="1"/>
        <c:tickLblPos val="none"/>
        <c:crossAx val="13588518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style val="10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Situazione economica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900"/>
                </a:pPr>
                <a:endParaRPr lang="it-IT"/>
              </a:p>
            </c:txPr>
            <c:showVal val="1"/>
          </c:dLbls>
          <c:cat>
            <c:strRef>
              <c:f>Foglio2!$G$9:$G$15</c:f>
              <c:strCache>
                <c:ptCount val="7"/>
                <c:pt idx="0">
                  <c:v>Povertà/problemi economici</c:v>
                </c:pt>
                <c:pt idx="1">
                  <c:v>Indebitamento</c:v>
                </c:pt>
                <c:pt idx="2">
                  <c:v>Nessun reddito</c:v>
                </c:pt>
                <c:pt idx="3">
                  <c:v>Povertà estrema</c:v>
                </c:pt>
                <c:pt idx="4">
                  <c:v>Reddito insufficiente</c:v>
                </c:pt>
                <c:pt idx="5">
                  <c:v>Indisponibilità straordinaria</c:v>
                </c:pt>
                <c:pt idx="6">
                  <c:v>Altro</c:v>
                </c:pt>
              </c:strCache>
            </c:strRef>
          </c:cat>
          <c:val>
            <c:numRef>
              <c:f>Foglio2!$H$9:$H$15</c:f>
              <c:numCache>
                <c:formatCode>0.0</c:formatCode>
                <c:ptCount val="7"/>
                <c:pt idx="0">
                  <c:v>0.18621973929236518</c:v>
                </c:pt>
                <c:pt idx="1">
                  <c:v>0.37243947858472998</c:v>
                </c:pt>
                <c:pt idx="2">
                  <c:v>22.718808193668544</c:v>
                </c:pt>
                <c:pt idx="3">
                  <c:v>0.55865921787709538</c:v>
                </c:pt>
                <c:pt idx="4">
                  <c:v>42.271880819366828</c:v>
                </c:pt>
                <c:pt idx="5">
                  <c:v>0.37243947858472998</c:v>
                </c:pt>
                <c:pt idx="6">
                  <c:v>0.37243947858472998</c:v>
                </c:pt>
              </c:numCache>
            </c:numRef>
          </c:val>
        </c:ser>
        <c:dLbls>
          <c:showVal val="1"/>
        </c:dLbls>
        <c:overlap val="-25"/>
        <c:axId val="157172480"/>
        <c:axId val="157174016"/>
      </c:barChart>
      <c:catAx>
        <c:axId val="157172480"/>
        <c:scaling>
          <c:orientation val="minMax"/>
        </c:scaling>
        <c:axPos val="l"/>
        <c:majorTickMark val="none"/>
        <c:tickLblPos val="nextTo"/>
        <c:crossAx val="157174016"/>
        <c:crosses val="autoZero"/>
        <c:auto val="1"/>
        <c:lblAlgn val="ctr"/>
        <c:lblOffset val="100"/>
      </c:catAx>
      <c:valAx>
        <c:axId val="157174016"/>
        <c:scaling>
          <c:orientation val="minMax"/>
        </c:scaling>
        <c:delete val="1"/>
        <c:axPos val="b"/>
        <c:numFmt formatCode="0.0" sourceLinked="1"/>
        <c:tickLblPos val="none"/>
        <c:crossAx val="15717248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style val="10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Totale Interventi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cat>
            <c:strRef>
              <c:f>interventi!$G$13:$G$16</c:f>
              <c:strCache>
                <c:ptCount val="4"/>
                <c:pt idx="0">
                  <c:v>Alloggio</c:v>
                </c:pt>
                <c:pt idx="1">
                  <c:v>Beni e Servizi materiali</c:v>
                </c:pt>
                <c:pt idx="2">
                  <c:v>Mensa</c:v>
                </c:pt>
                <c:pt idx="3">
                  <c:v>Sussidi Economici</c:v>
                </c:pt>
              </c:strCache>
            </c:strRef>
          </c:cat>
          <c:val>
            <c:numRef>
              <c:f>interventi!$H$13:$H$16</c:f>
              <c:numCache>
                <c:formatCode>General</c:formatCode>
                <c:ptCount val="4"/>
                <c:pt idx="0">
                  <c:v>4</c:v>
                </c:pt>
                <c:pt idx="1">
                  <c:v>450</c:v>
                </c:pt>
                <c:pt idx="2">
                  <c:v>2169</c:v>
                </c:pt>
                <c:pt idx="3">
                  <c:v>11</c:v>
                </c:pt>
              </c:numCache>
            </c:numRef>
          </c:val>
        </c:ser>
        <c:dLbls>
          <c:showVal val="1"/>
        </c:dLbls>
        <c:overlap val="-25"/>
        <c:axId val="157184768"/>
        <c:axId val="157186304"/>
      </c:barChart>
      <c:catAx>
        <c:axId val="157184768"/>
        <c:scaling>
          <c:orientation val="minMax"/>
        </c:scaling>
        <c:axPos val="l"/>
        <c:majorTickMark val="none"/>
        <c:tickLblPos val="nextTo"/>
        <c:crossAx val="157186304"/>
        <c:crosses val="autoZero"/>
        <c:auto val="1"/>
        <c:lblAlgn val="ctr"/>
        <c:lblOffset val="100"/>
      </c:catAx>
      <c:valAx>
        <c:axId val="157186304"/>
        <c:scaling>
          <c:orientation val="minMax"/>
        </c:scaling>
        <c:delete val="1"/>
        <c:axPos val="b"/>
        <c:numFmt formatCode="General" sourceLinked="1"/>
        <c:tickLblPos val="none"/>
        <c:crossAx val="157184768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ciccio formaggio</dc:creator>
  <cp:lastModifiedBy>tre</cp:lastModifiedBy>
  <cp:revision>2</cp:revision>
  <dcterms:created xsi:type="dcterms:W3CDTF">2021-01-11T10:36:00Z</dcterms:created>
  <dcterms:modified xsi:type="dcterms:W3CDTF">2021-01-11T10:36:00Z</dcterms:modified>
</cp:coreProperties>
</file>